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Propuesta integral</w:t>
        <w:br/>
        <w:t>para garantizar</w:t>
        <w:br/>
        <w:t>el acceso a la vivienda</w:t>
      </w:r>
    </w:p>
    <w:p>
      <w:pPr>
        <w:pStyle w:val="Subtitle"/>
      </w:pPr>
      <w:r>
        <w:t>Programa residencial para España con un plan específico para Canarias</w:t>
      </w:r>
    </w:p>
    <w:p>
      <w:r>
        <w:t>Horizonte de actuación 2027–2045</w:t>
        <w:br/>
        <w:t>Documento para presentación y debate político · 3 de octubre de 2026</w:t>
      </w:r>
    </w:p>
    <w:p>
      <w:pPr>
        <w:pStyle w:val="Heading2"/>
      </w:pPr>
      <w:r>
        <w:t>El compromiso que proponemos</w:t>
      </w:r>
    </w:p>
    <w:p>
      <w:r>
        <w:t>Queremos que cualquier persona pueda desarrollar su vida en una vivienda adecuada y estable, con sus ingresos propios y sin depender de una herencia. La vivienda debe permitir emanciparse, cuidar, trabajar y envejecer con dignidad.</w:t>
      </w:r>
    </w:p>
    <w:p>
      <w:r>
        <w:t>Proponemos construir un sistema que combine un parque asequible permanente, una oferta privada suficiente y una protección efectiva de los hogares. Su financiación, mantenimiento y capacidad de respuesta deben acompañar los cambios de población, ingresos y necesidades.</w:t>
      </w:r>
    </w:p>
    <w:p>
      <w:r>
        <w:t>Esta propuesta expresa una elección progresista: dedicar recursos y capacidad pública a garantizar el acceso, conservar el patrimonio financiado por la sociedad y repartir con mayor equidad las rentas del suelo. Reconoce la propiedad privada y la participación de empresas, cooperativas y entidades sociales bajo reglas transparentes.</w:t>
      </w:r>
    </w:p>
    <w:p>
      <w:pPr>
        <w:pStyle w:val="Heading2"/>
      </w:pPr>
      <w:r>
        <w:t>Qué contiene el programa</w:t>
      </w:r>
    </w:p>
    <w:p>
      <w:r>
        <w:t>Medidas para el acceso y la permanencia; producción y rehabilitación; regulación y fiscalidad; financiación; responsabilidades institucionales; aplicación a Canarias; calendario y evaluación.</w:t>
      </w:r>
    </w:p>
    <w:p>
      <w:r>
        <w:t>La propuesta define compromisos políticos y mecanismos de ejecución. Las metas de viviendas, los plazos individuales de acceso y el presupuesto definitivo se aprobarán con una memoria territorial y económica. Las simulaciones de la investigación previa no se presentan como previsiones nacionales.</w:t>
      </w:r>
    </w:p>
    <w:p>
      <w:r>
        <w:br w:type="page"/>
      </w:r>
    </w:p>
    <w:p>
      <w:pPr>
        <w:pStyle w:val="Heading1"/>
      </w:pPr>
      <w:r>
        <w:t>1 Un acceso que se pueda sostener</w:t>
      </w:r>
    </w:p>
    <w:p>
      <w:r>
        <w:t>El objetivo es reducir de forma sostenida la exclusión residencial y evitar que la siguiente generación vuelva a afrontar la misma crisis. Mediremos el resultado por los hogares que acceden a una vivienda adecuada y pueden conservarla.</w:t>
      </w:r>
    </w:p>
    <w:p>
      <w:pPr>
        <w:pStyle w:val="Heading2"/>
      </w:pPr>
      <w:r>
        <w:t>Una garantía progresiva con responsables identificados</w:t>
      </w:r>
    </w:p>
    <w:p>
      <w:r>
        <w:t>Proponemos desarrollar una garantía de acceso mediante normas y convenios entre administraciones. Debe precisar beneficiarios, prestaciones, administración responsable, procedimiento de reclamación y financiación. La prevención de la pérdida de alojamiento y la atención de urgencias tendrán prioridad desde el inicio. El acceso estable se ampliará con capacidad y recursos verificables.</w:t>
      </w:r>
    </w:p>
    <w:p>
      <w:r>
        <w:t>Cada solicitud tendrá una respuesta motivada. Publicaremos los tiempos de espera, los incumplimientos y las medidas correctoras. El alojamiento provisional tendrá seguimiento y una vía hacia una solución estable; no se contabilizará como vivienda definitiva.</w:t>
      </w:r>
    </w:p>
    <w:p>
      <w:pPr>
        <w:pStyle w:val="Heading2"/>
      </w:pPr>
      <w:r>
        <w:t>Pagar la vivienda sin renunciar a lo básico</w:t>
      </w:r>
    </w:p>
    <w:p>
      <w:r>
        <w:t>La aportación del hogar se determinará según ingresos y composición familiar, preservando recursos para alimentación, suministros, cuidados y movilidad necesaria. El 30 % de los ingresos será una referencia orientativa, complementada por el dinero que queda disponible después de pagar la vivienda. Para rentas bajas, esa segunda comprobación será decisiva.</w:t>
      </w:r>
    </w:p>
    <w:p>
      <w:r>
        <w:t>Cuando el alquiler del parque asequible supere la capacidad de pago, habrá una ayuda explícita, revisable y coordinada con las prestaciones de ingresos. Su retirada será gradual para evitar que una mejora salarial provoque una pérdida desproporcionada de apoyo. En el mercado privado, las ayudas se vincularán a condiciones verificables y se evaluará su posible traslado a los alquileres.</w:t>
      </w:r>
    </w:p>
    <w:p>
      <w:pPr>
        <w:pStyle w:val="Heading2"/>
      </w:pPr>
      <w:r>
        <w:t>Prioridades claras y trato igualitario</w:t>
      </w:r>
    </w:p>
    <w:p>
      <w:r>
        <w:t>La asignación atenderá a necesidad residencial, ingresos, patrimonio realmente utilizable, discapacidad y responsabilidades de cuidado. Daremos prioridad a las situaciones más graves, con vías de acceso para jóvenes y hogares trabajadores excluidos del mercado. Los criterios serán públicos, recurribles y compatibles con la igualdad de trato. Las viviendas se distribuirán para evitar segregación y facilitar la movilidad entre municipios.</w:t>
      </w:r>
    </w:p>
    <w:p>
      <w:r>
        <w:br w:type="page"/>
      </w:r>
    </w:p>
    <w:p>
      <w:pPr>
        <w:pStyle w:val="Heading1"/>
      </w:pPr>
      <w:r>
        <w:t>2 Un parque asequible que permanezca</w:t>
      </w:r>
    </w:p>
    <w:p>
      <w:r>
        <w:t>La inversión pública debe dejar una capacidad residencial que siga prestando servicio durante décadas. Proponemos ampliar un parque de alquiler asequible y de cesión de uso, con protección jurídica, mantenimiento y reinversión de sus ingresos.</w:t>
      </w:r>
    </w:p>
    <w:p>
      <w:pPr>
        <w:pStyle w:val="Heading2"/>
      </w:pPr>
      <w:r>
        <w:t>Distintas formas de propiedad con una obligación común</w:t>
      </w:r>
    </w:p>
    <w:p>
      <w:r>
        <w:t>Participarán administraciones, cooperativas en cesión de uso y entidades con rentabilidad limitada. Podrán incorporarse operadores privados mediante contratos que definan precio, duración, calidad, selección de residentes y retorno público. El apoyo recibido determinará obligaciones proporcionales y mecanismos de recuperación ante incumplimiento.</w:t>
      </w:r>
    </w:p>
    <w:p>
      <w:r>
        <w:t>El suelo público destinado a este sistema se conservará preferentemente en titularidad pública mediante derechos de uso adecuados. Las viviendas tendrán protección duradera y registrada. Propondremos impedir su venta libre sin una sustitución equivalente del servicio y del valor público, con control jurídico de las excepciones. Ninguna ley puede eliminar toda reversión futura, pero sí hacerla visible, costosa y sujeta a responsabilidad.</w:t>
      </w:r>
    </w:p>
    <w:p>
      <w:pPr>
        <w:pStyle w:val="Heading2"/>
      </w:pPr>
      <w:r>
        <w:t>Construir adquirir y rehabilitar donde resulte mejor</w:t>
      </w:r>
    </w:p>
    <w:p>
      <w:r>
        <w:t>Cada programa comparará construcción nueva, rehabilitación, compra y acuerdos de alquiler estable según coste completo, localización, plazo y servicio. Comprar una vivienda existente puede proteger a un hogar, pero no aumenta por sí mismo el número de viviendas. Distinguiremos ambas contribuciones.</w:t>
      </w:r>
    </w:p>
    <w:p>
      <w:r>
        <w:t>La vivienda vacía solo se incorporará al balance de oferta después de comprobar disponibilidad, habitabilidad y situación jurídica. Ofreceremos rehabilitación y gestión pública del alquiler a cambio de contratos prolongados y rentas pactadas. Las actuaciones obligatorias requerirán fundamento legal, proporcionalidad y garantías.</w:t>
      </w:r>
    </w:p>
    <w:p>
      <w:pPr>
        <w:pStyle w:val="Heading2"/>
      </w:pPr>
      <w:r>
        <w:t>Conservar la calidad y facilitar los cuidados</w:t>
      </w:r>
    </w:p>
    <w:p>
      <w:r>
        <w:t>Las promociones tendrán reservas de mantenimiento, inspecciones y planificación de reposiciones. Incorporarán accesibilidad, confort térmico, eficiencia energética y tipologías adecuadas para hogares pequeños y mayores. Las cooperativas deberán permitir el acceso de personas con poco ahorro mediante apoyos a las aportaciones iniciales y salvaguardas frente al endeudamiento.</w:t>
      </w:r>
    </w:p>
    <w:p>
      <w:r>
        <w:t>Reforzaremos la vivienda estable acompañada de servicios para personas sin hogar y otras necesidades intensas. La calidad del entorno, los centros educativos y el transporte formarán parte de la evaluación de cada promoción.</w:t>
      </w:r>
    </w:p>
    <w:p>
      <w:r>
        <w:br w:type="page"/>
      </w:r>
    </w:p>
    <w:p>
      <w:pPr>
        <w:pStyle w:val="Heading1"/>
      </w:pPr>
      <w:r>
        <w:t>3 Más oferta y mejores reglas</w:t>
      </w:r>
    </w:p>
    <w:p>
      <w:pPr>
        <w:pStyle w:val="Heading2"/>
      </w:pPr>
      <w:r>
        <w:t>Suelo preparado y administración capaz</w:t>
      </w:r>
    </w:p>
    <w:p>
      <w:r>
        <w:t>Los municipios y comunidades programarán suelo con servicios, licencias y rehabilitación a partir de la necesidad por áreas de empleo. Publicarán el estado de los expedientes y reforzarán sus equipos técnicos. La coordinación y la tramitación simultánea se aplicarán cuando sean legalmente posibles, conservando los controles ambientales, de seguridad y de participación.</w:t>
      </w:r>
    </w:p>
    <w:p>
      <w:r>
        <w:t>Los programas plurianuales de contratación darán continuidad a la construcción y rehabilitación. Impulsaremos formación profesional, industrialización cuando reduzca costes completos, innovación y condiciones laborales dignas. Los contratos evitarán una dependencia excesiva de pocos proveedores y vigilarán sobrecostes y competencia.</w:t>
      </w:r>
    </w:p>
    <w:p>
      <w:pPr>
        <w:pStyle w:val="Heading2"/>
      </w:pPr>
      <w:r>
        <w:t>Un alquiler estable con seguridad jurídica</w:t>
      </w:r>
    </w:p>
    <w:p>
      <w:r>
        <w:t>Defenderemos contratos que ofrezcan estabilidad al residente, información transparente y vías ágiles para resolver conflictos. La mediación y las garantías públicas condicionadas podrán facilitar la participación de pequeños arrendadores, con límites y control de su coste.</w:t>
      </w:r>
    </w:p>
    <w:p>
      <w:r>
        <w:t>En zonas de presión, las medidas sobre rentas se aplicarán dentro del marco legal, con seguimiento de precios, oferta, calidad y desplazamiento hacia otros usos. Se acompañarán de expansión del parque asequible. Si aparecen efectos adversos relevantes, se corregirá el diseño sin abandonar la protección de los hogares.</w:t>
      </w:r>
    </w:p>
    <w:p>
      <w:pPr>
        <w:pStyle w:val="Heading2"/>
      </w:pPr>
      <w:r>
        <w:t>Usos turísticos y prácticas de elusión</w:t>
      </w:r>
    </w:p>
    <w:p>
      <w:r>
        <w:t>La autorización de usos turísticos responderá a la capacidad de cada municipio o zona, con inspección, datos de plataformas y evaluación del impacto residencial. Las limitaciones se justificarán territorialmente. La recuperación de viviendas para residencia se contará cuando el cambio de uso sea efectivo.</w:t>
      </w:r>
    </w:p>
    <w:p>
      <w:r>
        <w:t>Reforzaremos el control de contratos temporales o por habitaciones utilizados para eludir obligaciones, distinguiendo los usos legítimos. Mejoraremos la información sobre titularidad y concentración para evaluar poder de mercado, dentro de las garantías de protección de datos.</w:t>
      </w:r>
    </w:p>
    <w:p>
      <w:pPr>
        <w:pStyle w:val="Heading2"/>
      </w:pPr>
      <w:r>
        <w:t>Compartir el valor que crea la acción pública</w:t>
      </w:r>
    </w:p>
    <w:p>
      <w:r>
        <w:t>Propondremos reforzar la recuperación pública de plusvalías derivadas de cambios de planeamiento e inversión en infraestructuras. Revisaremos beneficios fiscales que encarezcan el acceso sin aumentar oferta. Las reformas sobre suelo y desocupación injustificada tendrán evaluación distributiva, excepciones justificadas y aplicación gradual. Su recaudación no se dará por segura antes de estimarla.</w:t>
      </w:r>
    </w:p>
    <w:p>
      <w:r>
        <w:br w:type="page"/>
      </w:r>
    </w:p>
    <w:p>
      <w:pPr>
        <w:pStyle w:val="Heading1"/>
      </w:pPr>
      <w:r>
        <w:t>4 Financiación y protección de los hogares</w:t>
      </w:r>
    </w:p>
    <w:p>
      <w:r>
        <w:t>El programa tendrá financiación plurianual para crear capacidad, mantenerla y cubrir la diferencia entre coste y capacidad de pago. Cada presupuesto deberá mostrar esas funciones por separado y explicar quién soporta los riesgos.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7416"/>
      </w:tblGrid>
      <w:tr>
        <w:trPr>
          <w:tblHeader/>
        </w:trPr>
        <w:tc>
          <w:tcPr>
            <w:tcW w:type="dxa" w:w="2376"/>
            <w:vAlign w:val="center"/>
            <w:shd w:fill="243B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9"/>
              </w:rPr>
              <w:t>Concepto</w:t>
            </w:r>
          </w:p>
        </w:tc>
        <w:tc>
          <w:tcPr>
            <w:tcW w:type="dxa" w:w="7416"/>
            <w:vAlign w:val="center"/>
            <w:shd w:fill="243B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9"/>
              </w:rPr>
              <w:t>Tratamiento propuesto</w:t>
            </w:r>
          </w:p>
        </w:tc>
      </w:tr>
      <w:tr>
        <w:tc>
          <w:tcPr>
            <w:tcW w:type="dxa" w:w="2376"/>
            <w:vAlign w:val="center"/>
            <w:shd w:fill="F2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Inversión y activos</w:t>
            </w:r>
          </w:p>
        </w:tc>
        <w:tc>
          <w:tcPr>
            <w:tcW w:type="dxa" w:w="7416"/>
            <w:vAlign w:val="center"/>
            <w:shd w:fill="F2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Construcción, compra y rehabilitación con valoración y registro patrimonial.</w:t>
            </w:r>
          </w:p>
        </w:tc>
      </w:tr>
      <w:tr>
        <w:tc>
          <w:tcPr>
            <w:tcW w:type="dxa" w:w="237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Ayudas y gasto de servicio</w:t>
            </w:r>
          </w:p>
        </w:tc>
        <w:tc>
          <w:tcPr>
            <w:tcW w:type="dxa" w:w="74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Apoyo a hogares, gestión y mantenimiento con dotación recurrente.</w:t>
            </w:r>
          </w:p>
        </w:tc>
      </w:tr>
      <w:tr>
        <w:tc>
          <w:tcPr>
            <w:tcW w:type="dxa" w:w="2376"/>
            <w:vAlign w:val="center"/>
            <w:shd w:fill="F2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Deuda y garantías</w:t>
            </w:r>
          </w:p>
        </w:tc>
        <w:tc>
          <w:tcPr>
            <w:tcW w:type="dxa" w:w="7416"/>
            <w:vAlign w:val="center"/>
            <w:shd w:fill="F2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Importes, vencimientos, riesgos y clasificación fiscal explícitos.</w:t>
            </w:r>
          </w:p>
        </w:tc>
      </w:tr>
      <w:tr>
        <w:tc>
          <w:tcPr>
            <w:tcW w:type="dxa" w:w="237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Ingresos y retornos</w:t>
            </w:r>
          </w:p>
        </w:tc>
        <w:tc>
          <w:tcPr>
            <w:tcW w:type="dxa" w:w="74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Alquileres y recuperaciones con reinversión y reservas de conservación.</w:t>
            </w:r>
          </w:p>
        </w:tc>
      </w:tr>
    </w:tbl>
    <w:p>
      <w:pPr>
        <w:spacing w:after="0"/>
      </w:pPr>
    </w:p>
    <w:p>
      <w:r>
        <w:t>Proponemos combinar aportaciones presupuestarias, financiación a largo plazo y fondos europeos cuando estén disponibles y sean aplicables. El crédito público y el suelo aportado tienen coste económico. Las entidades controladas por administraciones no se utilizarán para ocultar deuda o trasladar riesgos fuera del presupuesto.</w:t>
      </w:r>
    </w:p>
    <w:p>
      <w:pPr>
        <w:pStyle w:val="Heading2"/>
      </w:pPr>
      <w:r>
        <w:t>Presupuesto antes que anuncios de viviendas</w:t>
      </w:r>
    </w:p>
    <w:p>
      <w:r>
        <w:t>La primera memoria económica comparará continuidad y alternativas de implantación a 2, 5, 10 y 20 años. Incluirá costes territoriales, hogares beneficiarios, ayudas recurrentes, mantenimiento, recursos administrativos y sensibilidad a tipos y materiales. El Parlamento correspondiente aprobará los objetivos y su financiación; las metas se revisarán públicamente si cambian las necesidades.</w:t>
      </w:r>
    </w:p>
    <w:p>
      <w:pPr>
        <w:pStyle w:val="Heading2"/>
      </w:pPr>
      <w:r>
        <w:t>Prevenir la pérdida de la vivienda habitual</w:t>
      </w:r>
    </w:p>
    <w:p>
      <w:r>
        <w:t>Reforzaremos la detección temprana de impagos, el asesoramiento y la mediación. Según la situación se ofrecerán ayudas temporales, reestructuración de deuda o una alternativa estable de alquiler. Las adquisiciones públicas de créditos o viviendas requerirán valoración independiente y comparación con otras soluciones. No se pagará automáticamente el nominal de una deuda inviable.</w:t>
      </w:r>
    </w:p>
    <w:p>
      <w:r>
        <w:t>La protección incluirá a inquilinos y a quienes nunca pudieron comprar. Los apoyos públicos exigirán criterios de necesidad, transparencia y reparto justificado de pérdidas. La estabilidad financiera se abordará por las autoridades competentes, diferenciando protección de depósitos, continuidad de servicios y tratamiento de accionistas y acreedores.</w:t>
      </w:r>
    </w:p>
    <w:p>
      <w:r>
        <w:br w:type="page"/>
      </w:r>
    </w:p>
    <w:p>
      <w:pPr>
        <w:pStyle w:val="Heading1"/>
      </w:pPr>
      <w:r>
        <w:t>5 Responsabilidades y garantías de ejecución</w:t>
      </w:r>
    </w:p>
    <w:p>
      <w:r>
        <w:t>La cooperación debe permitir identificar quién responde cuando una medida no se ejecuta. Proponemos acuerdos con objetivos, financiación, datos compartidos y mecanismos de resolución de incumplimientos, respetando las competencias de cada administración.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7416"/>
      </w:tblGrid>
      <w:tr>
        <w:trPr>
          <w:tblHeader/>
        </w:trPr>
        <w:tc>
          <w:tcPr>
            <w:tcW w:type="dxa" w:w="2376"/>
            <w:vAlign w:val="center"/>
            <w:shd w:fill="243B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9"/>
              </w:rPr>
              <w:t>Nivel</w:t>
            </w:r>
          </w:p>
        </w:tc>
        <w:tc>
          <w:tcPr>
            <w:tcW w:type="dxa" w:w="7416"/>
            <w:vAlign w:val="center"/>
            <w:shd w:fill="243B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9"/>
              </w:rPr>
              <w:t>Responsabilidad principal propuesta</w:t>
            </w:r>
          </w:p>
        </w:tc>
      </w:tr>
      <w:tr>
        <w:tc>
          <w:tcPr>
            <w:tcW w:type="dxa" w:w="2376"/>
            <w:vAlign w:val="center"/>
            <w:shd w:fill="F2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Estado</w:t>
            </w:r>
          </w:p>
        </w:tc>
        <w:tc>
          <w:tcPr>
            <w:tcW w:type="dxa" w:w="7416"/>
            <w:vAlign w:val="center"/>
            <w:shd w:fill="F2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Financiación de programas acordados, marco fiscal y financiero, datos comunes y reformas de su competencia.</w:t>
            </w:r>
          </w:p>
        </w:tc>
      </w:tr>
      <w:tr>
        <w:tc>
          <w:tcPr>
            <w:tcW w:type="dxa" w:w="237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Comunidades autónomas</w:t>
            </w:r>
          </w:p>
        </w:tc>
        <w:tc>
          <w:tcPr>
            <w:tcW w:type="dxa" w:w="74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Programación residencial, parque protegido, ayudas, inspección y desarrollo de garantías según sus competencias.</w:t>
            </w:r>
          </w:p>
        </w:tc>
      </w:tr>
      <w:tr>
        <w:tc>
          <w:tcPr>
            <w:tcW w:type="dxa" w:w="2376"/>
            <w:vAlign w:val="center"/>
            <w:shd w:fill="F2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Municipios</w:t>
            </w:r>
          </w:p>
        </w:tc>
        <w:tc>
          <w:tcPr>
            <w:tcW w:type="dxa" w:w="7416"/>
            <w:vAlign w:val="center"/>
            <w:shd w:fill="F2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Planeamiento, suelo y licencias; gestión local y coordinación con servicios sociales y redes.</w:t>
            </w:r>
          </w:p>
        </w:tc>
      </w:tr>
      <w:tr>
        <w:tc>
          <w:tcPr>
            <w:tcW w:type="dxa" w:w="237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Cabildos en Canarias</w:t>
            </w:r>
          </w:p>
        </w:tc>
        <w:tc>
          <w:tcPr>
            <w:tcW w:type="dxa" w:w="74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Coordinación insular, apoyo técnico y planificación con movilidad e infraestructuras dentro de sus competencias.</w:t>
            </w:r>
          </w:p>
        </w:tc>
      </w:tr>
    </w:tbl>
    <w:p>
      <w:pPr>
        <w:spacing w:after="0"/>
      </w:pPr>
    </w:p>
    <w:p>
      <w:pPr>
        <w:pStyle w:val="Heading2"/>
      </w:pPr>
      <w:r>
        <w:t>Reforma jurídica con expedientes completos</w:t>
      </w:r>
    </w:p>
    <w:p>
      <w:r>
        <w:t>Cada reforma incluirá memoria competencial, económica y de proporcionalidad. Revisaremos su encaje en la Constitución, la legislación de vivienda y suelo, la contratación pública y las normas europeas sobre ayudas de Estado. Las medidas nuevas distinguirán contratos vigentes y futuros, con transición y garantías cuando correspondan. Este programa no equivale a un articulado con compatibilidad jurídica ya certificada.</w:t>
      </w:r>
    </w:p>
    <w:p>
      <w:pPr>
        <w:pStyle w:val="Heading2"/>
      </w:pPr>
      <w:r>
        <w:t>Evaluación independiente y control democrático</w:t>
      </w:r>
    </w:p>
    <w:p>
      <w:r>
        <w:t>Crearemos primero una función independiente de evaluación con acceso a datos y publicación de resultados. A los dos años se valorará si una Autoridad Independiente de Vivienda aporta ventajas frente a reforzar organismos existentes. No sustituirá al gobierno en la asignación de recursos ni a comunidades y municipios en la ejecución.</w:t>
      </w:r>
    </w:p>
    <w:p>
      <w:r>
        <w:t>Publicaremos costes por promoción, adjudicaciones, convenios, ayudas recibidas y cumplimiento del servicio. Habrá control de conflictos de interés, auditoría de contratos y participación de residentes. Los datos personales se protegerán y las decisiones de asignación podrán recurrirse.</w:t>
      </w:r>
    </w:p>
    <w:p>
      <w:pPr>
        <w:pStyle w:val="Heading2"/>
      </w:pPr>
      <w:r>
        <w:t>Una transición que conserve capacidad productiva</w:t>
      </w:r>
    </w:p>
    <w:p>
      <w:r>
        <w:t>La expansión se escalonará para evitar licitar más de lo que pueden entregar las administraciones y el sector. Las obligaciones de operadores y arrendadores se anunciarán con reglas y plazos claros. Las correcciones se basarán en resultados publicados, con atención a pequeños propietarios, empleo y continuidad de contratos.</w:t>
      </w:r>
    </w:p>
    <w:p>
      <w:r>
        <w:br w:type="page"/>
      </w:r>
    </w:p>
    <w:p>
      <w:pPr>
        <w:pStyle w:val="Heading1"/>
      </w:pPr>
      <w:r>
        <w:t>6 Un plan residencial para Canarias</w:t>
      </w:r>
    </w:p>
    <w:p>
      <w:r>
        <w:t>Canarias necesita un programa por islas y áreas de empleo, conectado con su capacidad ambiental e infraestructura. La distribución de recursos responderá a necesidad y coste verificados; no se asignará únicamente por población.</w:t>
      </w:r>
    </w:p>
    <w:p>
      <w:pPr>
        <w:pStyle w:val="Heading2"/>
      </w:pPr>
      <w:r>
        <w:t>Balances insulares y vivienda cerca de la vida cotidiana</w:t>
      </w:r>
    </w:p>
    <w:p>
      <w:r>
        <w:t>El Gobierno de Canarias, los cabildos y municipios identificarán hogares sin solución adecuada, necesidad nueva, parque utilizable y pérdida prevista de protección. En Tenerife y Gran Canaria se analizarán corredores de empleo y desplazamiento. En Lanzarote y Fuerteventura se prestará especial atención a la relación entre empleo turístico y acceso residencial. Las islas menores dispondrán de asistencia técnica compartida.</w:t>
      </w:r>
    </w:p>
    <w:p>
      <w:r>
        <w:t>La evaluación económica incorporará logística, disponibilidad de materiales, agua, saneamiento, energía y transporte. Una vivienda barata que imponga desplazamientos inasumibles no cumplirá el objetivo de acceso. Cada actuación deberá acreditar capacidad de servicios y seguridad frente a riesgos.</w:t>
      </w:r>
    </w:p>
    <w:p>
      <w:pPr>
        <w:pStyle w:val="Heading2"/>
      </w:pPr>
      <w:r>
        <w:t>Rehabilitación y suelo servido antes de nueva expansión</w:t>
      </w:r>
    </w:p>
    <w:p>
      <w:r>
        <w:t>Se priorizará recuperar edificios, completar tejidos urbanos y utilizar suelo con infraestructura cuando sea adecuado. La nueva construcción se justificará según déficit, localización y límites ambientales. Los programas de eficiencia y accesibilidad deberán evitar que la mejora financiada termine expulsando a los residentes.</w:t>
      </w:r>
    </w:p>
    <w:p>
      <w:pPr>
        <w:pStyle w:val="Heading2"/>
      </w:pPr>
      <w:r>
        <w:t>Turismo y recuperación residencial</w:t>
      </w:r>
    </w:p>
    <w:p>
      <w:r>
        <w:t>La regulación turística se basará en la presión por zonas y en su cumplimiento efectivo. La planificación económica y turística deberá acompañar las decisiones residenciales para no desplazar el problema de un municipio a otro. Las conversiones a vivienda habitual tendrán seguimiento de uso y permanencia.</w:t>
      </w:r>
    </w:p>
    <w:p>
      <w:r>
        <w:t>En La Palma se distinguirán claramente alojamiento temporal y restitución residencial estable. Las soluciones para mayores, cuidados y movilidad se incorporarán a la programación de todas las islas.</w:t>
      </w:r>
    </w:p>
    <w:p>
      <w:pPr>
        <w:pStyle w:val="Heading2"/>
      </w:pPr>
      <w:r>
        <w:t>Financiación adaptada al marco canario</w:t>
      </w:r>
    </w:p>
    <w:p>
      <w:r>
        <w:t>La memoria revisará expresamente el IGIC, el Régimen Económico y Fiscal y los instrumentos aplicables. Los incentivos se vincularán a servicio asequible verificable, duración y ausencia de doble financiación. El objetivo es conservar patrimonio y acceso residencial, con costes y resultados publicados por isla.</w:t>
      </w:r>
    </w:p>
    <w:p>
      <w:r>
        <w:br w:type="page"/>
      </w:r>
    </w:p>
    <w:p>
      <w:pPr>
        <w:pStyle w:val="Heading1"/>
      </w:pPr>
      <w:r>
        <w:t>7 Calendario y respuesta ante nuevas crisis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7632"/>
      </w:tblGrid>
      <w:tr>
        <w:trPr>
          <w:tblHeader/>
        </w:trPr>
        <w:tc>
          <w:tcPr>
            <w:tcW w:type="dxa" w:w="2160"/>
            <w:vAlign w:val="center"/>
            <w:shd w:fill="243B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9"/>
              </w:rPr>
              <w:t>Periodo</w:t>
            </w:r>
          </w:p>
        </w:tc>
        <w:tc>
          <w:tcPr>
            <w:tcW w:type="dxa" w:w="7632"/>
            <w:vAlign w:val="center"/>
            <w:shd w:fill="243B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19"/>
              </w:rPr>
              <w:t>Compromisos de implantación</w:t>
            </w:r>
          </w:p>
        </w:tc>
      </w:tr>
      <w:tr>
        <w:tc>
          <w:tcPr>
            <w:tcW w:type="dxa" w:w="2160"/>
            <w:vAlign w:val="center"/>
            <w:shd w:fill="F2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100 días de 2027</w:t>
            </w:r>
          </w:p>
        </w:tc>
        <w:tc>
          <w:tcPr>
            <w:tcW w:type="dxa" w:w="7632"/>
            <w:vAlign w:val="center"/>
            <w:shd w:fill="F2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Coordinar responsables; inventariar cartera pública; reforzar prevención y urgencias; publicar diagnóstico y calendario de memoria económica.</w:t>
            </w:r>
          </w:p>
        </w:tc>
      </w:tr>
      <w:tr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2027–2028</w:t>
            </w:r>
          </w:p>
        </w:tc>
        <w:tc>
          <w:tcPr>
            <w:tcW w:type="dxa" w:w="76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Aprobar financiación y objetivos territoriales; preparar suelo y expedientes; iniciar actuaciones viables y ayudas con seguimiento.</w:t>
            </w:r>
          </w:p>
        </w:tc>
      </w:tr>
      <w:tr>
        <w:tc>
          <w:tcPr>
            <w:tcW w:type="dxa" w:w="2160"/>
            <w:vAlign w:val="center"/>
            <w:shd w:fill="F2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Primera legislatura</w:t>
            </w:r>
          </w:p>
        </w:tc>
        <w:tc>
          <w:tcPr>
            <w:tcW w:type="dxa" w:w="7632"/>
            <w:vAlign w:val="center"/>
            <w:shd w:fill="F2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Ampliar entregas y rehabilitación; desarrollar garantías y protección patrimonial; evaluar regulación y capacidad administrativa.</w:t>
            </w:r>
          </w:p>
        </w:tc>
      </w:tr>
      <w:tr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2030–2035</w:t>
            </w:r>
          </w:p>
        </w:tc>
        <w:tc>
          <w:tcPr>
            <w:tcW w:type="dxa" w:w="76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Acumular parque permanente; ajustar inversión y ayudas a necesidades; revisar movilidad, empleo y límites territoriales.</w:t>
            </w:r>
          </w:p>
        </w:tc>
      </w:tr>
      <w:tr>
        <w:tc>
          <w:tcPr>
            <w:tcW w:type="dxa" w:w="2160"/>
            <w:vAlign w:val="center"/>
            <w:shd w:fill="F2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2036–2045</w:t>
            </w:r>
          </w:p>
        </w:tc>
        <w:tc>
          <w:tcPr>
            <w:tcW w:type="dxa" w:w="7632"/>
            <w:vAlign w:val="center"/>
            <w:shd w:fill="F2F5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line="252" w:lineRule="auto"/>
            </w:pPr>
            <w:r>
              <w:rPr>
                <w:sz w:val="19"/>
              </w:rPr>
              <w:t>Reponer y adaptar el parque; conservar protección y reservas; evaluar resultados entre generaciones.</w:t>
            </w:r>
          </w:p>
        </w:tc>
      </w:tr>
    </w:tbl>
    <w:p>
      <w:pPr>
        <w:spacing w:after="0"/>
      </w:pPr>
    </w:p>
    <w:p>
      <w:pPr>
        <w:pStyle w:val="Heading2"/>
      </w:pPr>
      <w:r>
        <w:t>Medir resultados que importan</w:t>
      </w:r>
    </w:p>
    <w:p>
      <w:r>
        <w:t>El seguimiento trimestral recogerá hogares en espera y tiempo hasta una solución estable; esfuerzo y renta disponible tras pagar vivienda; viviendas efectivamente incorporadas y retiradas del sistema; ejecución, costes y mantenimiento. Los resultados se desagregarán por territorio y tipo de hogar, con atención a discriminación y segregación.</w:t>
      </w:r>
    </w:p>
    <w:p>
      <w:r>
        <w:t>La evaluación anual añadirá desplazamientos necesarios, calidad, accesibilidad e impacto ambiental. Una obra iniciada, una ayuda concedida o una vivienda provisional no se contabilizarán como acceso estable conseguido.</w:t>
      </w:r>
    </w:p>
    <w:p>
      <w:pPr>
        <w:pStyle w:val="Heading2"/>
      </w:pPr>
      <w:r>
        <w:t>Corregir antes de que el déficit se consolide</w:t>
      </w:r>
    </w:p>
    <w:p>
      <w:r>
        <w:t>Cada plan se someterá a escenarios de crecimiento de hogares e inmigración, recesión, tipos altos, crisis bancaria, cambios turísticos, encarecimiento de materiales, envejecimiento y concentración de empleo. Se publicarán las necesidades de recursos y las actuaciones disponibles para cada escenario.</w:t>
      </w:r>
    </w:p>
    <w:p>
      <w:r>
        <w:t>Si las entradas superan persistentemente la capacidad, se revisarán producción, rehabilitación, ayudas y financiación. Los programas mantendrán actuaciones preparadas y atención durante las demoras. Cuando los límites físicos impidan ampliar vivienda en una zona, se revisarán localización de actividad, movilidad y alternativas territoriales. Un presupuesto fijo no se presentará como garantía suficiente ante cualquier shock.</w:t>
      </w:r>
    </w:p>
    <w:p>
      <w:r>
        <w:br w:type="page"/>
      </w:r>
    </w:p>
    <w:p>
      <w:pPr>
        <w:pStyle w:val="Heading1"/>
      </w:pPr>
      <w:r>
        <w:t>8 Fundamento y alcance del compromiso</w:t>
      </w:r>
    </w:p>
    <w:p>
      <w:pPr>
        <w:pStyle w:val="Heading2"/>
      </w:pPr>
      <w:r>
        <w:t>Lo que podemos defender</w:t>
      </w:r>
    </w:p>
    <w:p>
      <w:r>
        <w:t>El programa reúne medidas para aliviar la necesidad actual y mecanismos para conservar capacidad residencial. Su elección política es priorizar acceso estable, patrimonio público y equidad. La evidencia no determina una combinación única de propiedad ni una cuota universal de vivienda pública.</w:t>
      </w:r>
    </w:p>
    <w:p>
      <w:r>
        <w:t>Es bastante cierto que el acceso depende de ingresos, patrimonio, precio y localización; que conservar y mantener los activos exige recursos; y que la necesidad acumulada crece cuando supera la oferta efectiva. Es muy probable que una alternativa asequible permanente y adaptable mejore la protección, aunque su magnitud dependa de ejecución y territorio.</w:t>
      </w:r>
    </w:p>
    <w:p>
      <w:r>
        <w:t>Son discutibles la combinación óptima de tenencias y los efectos locales de ayudas, fiscalidad y regulación sobre precios y oferta. Aún se desconoce el presupuesto suficiente del programa completo y su capacidad efectiva en cada territorio. La amplitud de la garantía, la redistribución y los recursos asignados son decisiones políticas que deben aprobarse democráticamente.</w:t>
      </w:r>
    </w:p>
    <w:p>
      <w:pPr>
        <w:pStyle w:val="Heading2"/>
      </w:pPr>
      <w:r>
        <w:t>Fuentes de referencia</w:t>
      </w:r>
    </w:p>
    <w:p>
      <w:r>
        <w:t>El documento adapta la investigación del proyecto El problema de la vivienda y su revisión de 3 de octubre de 2026. Las pruebas de capacidad y financiación son ilustrativas y no sustituyen una memoria económica nacional. Se omiten sus cifras para evitar presentarlas como metas ya justificadas.</w:t>
      </w:r>
    </w:p>
    <w:p>
      <w:r>
        <w:rPr>
          <w:b/>
          <w:sz w:val="19"/>
        </w:rPr>
        <w:t xml:space="preserve">Banco de España · </w:t>
      </w:r>
      <w:r>
        <w:rPr>
          <w:sz w:val="19"/>
        </w:rPr>
        <w:t xml:space="preserve">Informe Anual 2023, capítulo 4, publicado en 2024. Diagnóstico de oferta, demanda y accesibilidad; no estimación del efecto de este programa. </w:t>
      </w:r>
      <w:hyperlink r:id="rId11">
        <w:r>
          <w:rPr>
            <w:color w:val="24496A"/>
          </w:rPr>
          <w:t>Consultar fuente</w:t>
        </w:r>
      </w:hyperlink>
    </w:p>
    <w:p>
      <w:r>
        <w:rPr>
          <w:b/>
          <w:sz w:val="19"/>
        </w:rPr>
        <w:t xml:space="preserve">Banco de España · </w:t>
      </w:r>
      <w:r>
        <w:rPr>
          <w:sz w:val="19"/>
        </w:rPr>
        <w:t xml:space="preserve">Análisis de veinte años de la Encuesta Financiera de las Familias, 5 de febrero de 2025. Evidencia descriptiva de patrimonio y diferencias generacionales. </w:t>
      </w:r>
      <w:hyperlink r:id="rId12">
        <w:r>
          <w:rPr>
            <w:color w:val="24496A"/>
          </w:rPr>
          <w:t>Consultar fuente</w:t>
        </w:r>
      </w:hyperlink>
    </w:p>
    <w:p>
      <w:r>
        <w:rPr>
          <w:b/>
          <w:sz w:val="19"/>
        </w:rPr>
        <w:t xml:space="preserve">BOE · </w:t>
      </w:r>
      <w:r>
        <w:rPr>
          <w:sz w:val="19"/>
        </w:rPr>
        <w:t xml:space="preserve">Ley 12/2023 por el derecho a la vivienda. Referencia para el desarrollo jurídico junto con la Constitución Española; deben comprobarse redacciones y jurisprudencia al redactar cada reforma. </w:t>
      </w:r>
      <w:hyperlink r:id="rId13">
        <w:r>
          <w:rPr>
            <w:color w:val="24496A"/>
          </w:rPr>
          <w:t>Consultar fuente</w:t>
        </w:r>
      </w:hyperlink>
    </w:p>
    <w:p>
      <w:r>
        <w:rPr>
          <w:b/>
          <w:sz w:val="19"/>
        </w:rPr>
        <w:t xml:space="preserve">Scottish Housing Regulator · </w:t>
      </w:r>
      <w:r>
        <w:rPr>
          <w:sz w:val="19"/>
        </w:rPr>
        <w:t xml:space="preserve">National Report 2024–2025. Seguimiento de prestaciones e incumplimientos; advierte de la distancia entre obligaciones y capacidad de entrega, sin probar una causa única. </w:t>
      </w:r>
      <w:hyperlink r:id="rId14">
        <w:r>
          <w:rPr>
            <w:color w:val="24496A"/>
          </w:rPr>
          <w:t>Consultar fuente</w:t>
        </w:r>
      </w:hyperlink>
    </w:p>
    <w:p>
      <w:r>
        <w:t>Compromiso propuesto: iniciar la atención y las actuaciones viables desde el primer año, aprobar financiación verificable y corregir el programa cuando sus resultados no alcancen a los hogares. La responsabilidad política se medirá por el servicio entregado y conservado.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23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Octubre de 2026   ·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  <w:sz w:val="16"/>
      </w:rPr>
      <w:t>PROPUESTA DE POLÍTICA RESIDENCIAL  ·  ESPAÑA Y CANARIAS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de.es/f/webbe/SES/Secciones/Publicaciones/PublicacionesAnuales/InformesAnuales/23/Fich/InfAnual_2023_Cap4.pdf" TargetMode="External"/><Relationship Id="rId12" Type="http://schemas.openxmlformats.org/officeDocument/2006/relationships/hyperlink" Target="https://www.bde.es/wbe/es/noticias-eventos/blog/el-analisis-de-la-riqueza-en-espana-20-anos-de-la-encuesta-financiera-de-las-familias.html" TargetMode="External"/><Relationship Id="rId13" Type="http://schemas.openxmlformats.org/officeDocument/2006/relationships/hyperlink" Target="https://www.boe.es/buscar/act.php?id=BOE-A-2023-12203" TargetMode="External"/><Relationship Id="rId14" Type="http://schemas.openxmlformats.org/officeDocument/2006/relationships/hyperlink" Target="https://www.housingregulator.gov.scot/landlord-performance/national-reports/national-reports-on-the-scottish-social-housing-charter/national-report-on-the-scottish-social-housing-charter-2024-202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integral para garantizar el acceso a la vivienda</dc:title>
  <dc:subject>Programa residencial 2027–2045 para España y Canarias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